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CD" w:rsidRDefault="005A27F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1CD" w:rsidRDefault="005A27F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8241CD" w:rsidRDefault="005A27F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 февраля 2022</w:t>
      </w:r>
    </w:p>
    <w:p w:rsidR="008241CD" w:rsidRDefault="008241C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1CD" w:rsidRDefault="005A27F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Долевка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пошла в рост</w:t>
      </w:r>
    </w:p>
    <w:p w:rsidR="008241CD" w:rsidRDefault="005A27F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договоров долевого участия (ДДУ), зарегистрированных Росреестром в период с января по декабрь 2021 года, в целом по России составило 898,6 тысяч, из них в Самарской области почти 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тысяч. По сравнению с 2020 годом показатель по стране вырос на 17%, а в Самарской области на 21,5%.</w:t>
      </w:r>
    </w:p>
    <w:p w:rsidR="008241CD" w:rsidRDefault="005A27FB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- Для граждан созданы возможности получать государственные услуги Росреестра в удобном для них формате - онлайн. Соответственно, увеличилось количество сдел</w:t>
      </w:r>
      <w:r>
        <w:rPr>
          <w:i/>
          <w:iCs/>
          <w:color w:val="000000" w:themeColor="text1"/>
          <w:sz w:val="28"/>
          <w:szCs w:val="28"/>
        </w:rPr>
        <w:t>ок в электронном виде. Благодаря комплексной работе – на уровне центрального аппарата Росреестра, наших территориальных органов, подведомственных учреждений и профессиональных участников рынка недвижимости – в 2021 году нам удалось повысить востребованност</w:t>
      </w:r>
      <w:r>
        <w:rPr>
          <w:i/>
          <w:iCs/>
          <w:color w:val="000000" w:themeColor="text1"/>
          <w:sz w:val="28"/>
          <w:szCs w:val="28"/>
        </w:rPr>
        <w:t>ь цифровых услуг Росреестра. Доля учетно-регистрационных действий в электронном виде по итогам года составила 46%, что в два раза превышает показатель начала 2020 года. Количество электронных ДДУ – с 20% до 67%, - </w:t>
      </w:r>
      <w:r>
        <w:rPr>
          <w:color w:val="000000" w:themeColor="text1"/>
          <w:sz w:val="28"/>
          <w:szCs w:val="28"/>
        </w:rPr>
        <w:t>отметила</w:t>
      </w:r>
      <w:r>
        <w:rPr>
          <w:i/>
          <w:i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заместитель руководителя Росреест</w:t>
      </w:r>
      <w:r>
        <w:rPr>
          <w:color w:val="000000" w:themeColor="text1"/>
          <w:sz w:val="28"/>
          <w:szCs w:val="28"/>
        </w:rPr>
        <w:t>ра, руководитель цифровой трансформации </w:t>
      </w:r>
      <w:r>
        <w:rPr>
          <w:b/>
          <w:bCs/>
          <w:color w:val="000000" w:themeColor="text1"/>
          <w:sz w:val="28"/>
          <w:szCs w:val="28"/>
        </w:rPr>
        <w:t>Елена Мартынова.</w:t>
      </w:r>
    </w:p>
    <w:p w:rsidR="008241CD" w:rsidRDefault="008241CD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241CD" w:rsidRDefault="005A27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Самарской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регистрации договоров долевого участия в строительстве в электронном виде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выросла на 24%, а к</w:t>
      </w:r>
      <w:r>
        <w:rPr>
          <w:rFonts w:ascii="Times New Roman" w:hAnsi="Times New Roman" w:cs="Times New Roman"/>
          <w:sz w:val="28"/>
          <w:szCs w:val="28"/>
        </w:rPr>
        <w:t xml:space="preserve">оличество договоров с использованием эскроу-счетов на 79%.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Спрос на жилые помещения в нашем регионе в 2021 году увеличился почти на 14% по сравнению с 2020 годом. </w:t>
      </w:r>
    </w:p>
    <w:p w:rsidR="008241CD" w:rsidRDefault="005A27F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Законодатели предоставили преимущества тем, кто подает документы в электронном виде: срок регистрации последующих договоров участия в долевом строите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льстве составит всего 3 рабочих дня вместо пяти рабочих дней со дня поступления документов в Управление Росреестра; госпошлина при представлении документов через сайт Росреестра оплачивается со скидкой 30%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 напомнила заместитель руководителя Управления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осреестра по Самарской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Титова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241CD" w:rsidRDefault="005A27F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вид позволяет исключить необходимость посещать офис МФЦ для подачи документов и для получения результата регистрации права – выписки из Единого государственного реестра недвижимости.  </w:t>
      </w:r>
    </w:p>
    <w:p w:rsidR="008241CD" w:rsidRDefault="005A27F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Напомним,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еперь застройщики без доверенности могут подать за дольщика заявление о регистрации права собственности участника долевого строительства в электронном виде и даже заверить акт приема-передачи своей электронно-цифровой подписью. Усиленная квалифицированная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электронная подпись участника долевого строительства на акте не требуется. </w:t>
      </w:r>
    </w:p>
    <w:p w:rsidR="008241CD" w:rsidRDefault="008241CD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8241CD" w:rsidRDefault="005A27FB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прокомментировал руководитель аппарата Ассоциации «Национальное объединение застройщиков жилья» </w:t>
      </w:r>
      <w:r>
        <w:rPr>
          <w:b/>
          <w:bCs/>
          <w:color w:val="000000" w:themeColor="text1"/>
          <w:sz w:val="28"/>
          <w:szCs w:val="28"/>
        </w:rPr>
        <w:t xml:space="preserve">Кирилл </w:t>
      </w:r>
      <w:proofErr w:type="spellStart"/>
      <w:r>
        <w:rPr>
          <w:b/>
          <w:bCs/>
          <w:color w:val="000000" w:themeColor="text1"/>
          <w:sz w:val="28"/>
          <w:szCs w:val="28"/>
        </w:rPr>
        <w:t>Холопик</w:t>
      </w:r>
      <w:proofErr w:type="spellEnd"/>
      <w:r>
        <w:rPr>
          <w:color w:val="000000" w:themeColor="text1"/>
          <w:sz w:val="28"/>
          <w:szCs w:val="28"/>
        </w:rPr>
        <w:t xml:space="preserve">, увеличение количества зарегистрированных ДДУ в 2021 году в том </w:t>
      </w:r>
      <w:r>
        <w:rPr>
          <w:color w:val="000000" w:themeColor="text1"/>
          <w:sz w:val="28"/>
          <w:szCs w:val="28"/>
        </w:rPr>
        <w:t>числе обусловлено совершенствованием механизмов электронного взаимодействия Росреестра с застройщиками.</w:t>
      </w:r>
    </w:p>
    <w:p w:rsidR="008241CD" w:rsidRDefault="005A27FB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«</w:t>
      </w:r>
      <w:r>
        <w:rPr>
          <w:i/>
          <w:iCs/>
          <w:color w:val="000000" w:themeColor="text1"/>
          <w:sz w:val="28"/>
          <w:szCs w:val="28"/>
        </w:rPr>
        <w:t>Количество продаж строящегося жилья является самым главным показателем, определяющим состояние отрасли жилищного строительства. От продаж зависит стаб</w:t>
      </w:r>
      <w:r>
        <w:rPr>
          <w:i/>
          <w:iCs/>
          <w:color w:val="000000" w:themeColor="text1"/>
          <w:sz w:val="28"/>
          <w:szCs w:val="28"/>
        </w:rPr>
        <w:t>ильность финансирования стройки и последующий ввод в эксплуатацию. Побит не только хороший прошлогодний результат, но и державшийся 6 лет рекорд 2014 года. Это является свидетельством кардинального улучшения работы ключевых институтов долевого строительств</w:t>
      </w:r>
      <w:r>
        <w:rPr>
          <w:i/>
          <w:iCs/>
          <w:color w:val="000000" w:themeColor="text1"/>
          <w:sz w:val="28"/>
          <w:szCs w:val="28"/>
        </w:rPr>
        <w:t>а, таких, как земельный рынок, ипотека, проектное финансирование, кадастровый учёт и регистрация прав</w:t>
      </w:r>
      <w:r>
        <w:rPr>
          <w:color w:val="000000" w:themeColor="text1"/>
          <w:sz w:val="28"/>
          <w:szCs w:val="28"/>
        </w:rPr>
        <w:t>», - сказал эксперт.</w:t>
      </w:r>
    </w:p>
    <w:p w:rsidR="008241CD" w:rsidRDefault="005A27FB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__________________________________________________________________________________________________________</w:t>
      </w:r>
    </w:p>
    <w:p w:rsidR="008241CD" w:rsidRDefault="005A27F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 w:rsidR="008241CD" w:rsidRDefault="005A27F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8241CD" w:rsidRDefault="005A27F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8241CD" w:rsidRDefault="005A27FB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) </w:t>
      </w:r>
    </w:p>
    <w:p w:rsidR="008241CD" w:rsidRDefault="005A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8241CD" w:rsidRDefault="008241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4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CD"/>
    <w:rsid w:val="005A27FB"/>
    <w:rsid w:val="0082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D472-36A2-484E-8D44-8FEBA1B6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2022-02-14T06:46:00Z</cp:lastPrinted>
  <dcterms:created xsi:type="dcterms:W3CDTF">2022-02-15T05:39:00Z</dcterms:created>
  <dcterms:modified xsi:type="dcterms:W3CDTF">2022-02-15T05:39:00Z</dcterms:modified>
</cp:coreProperties>
</file>